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49" w:rsidRPr="00A61523" w:rsidRDefault="00A61523">
      <w:pPr>
        <w:rPr>
          <w:b/>
        </w:rPr>
      </w:pPr>
      <w:r w:rsidRPr="00A61523">
        <w:rPr>
          <w:rFonts w:hint="eastAsia"/>
          <w:b/>
          <w:sz w:val="24"/>
        </w:rPr>
        <w:t>中国美术学院“十三五”省级大学生校外实践教育基地建设中期报告表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25AB9" w:rsidTr="00B425A4">
        <w:tc>
          <w:tcPr>
            <w:tcW w:w="4261" w:type="dxa"/>
          </w:tcPr>
          <w:p w:rsidR="00625AB9" w:rsidRPr="007F1A13" w:rsidRDefault="00625AB9" w:rsidP="00625AB9">
            <w:pPr>
              <w:rPr>
                <w:b/>
              </w:rPr>
            </w:pPr>
            <w:r w:rsidRPr="007F1A13">
              <w:rPr>
                <w:rFonts w:hint="eastAsia"/>
                <w:b/>
              </w:rPr>
              <w:t>基地名称</w:t>
            </w:r>
          </w:p>
        </w:tc>
        <w:tc>
          <w:tcPr>
            <w:tcW w:w="4261" w:type="dxa"/>
            <w:vAlign w:val="center"/>
          </w:tcPr>
          <w:p w:rsidR="00625AB9" w:rsidRDefault="00625AB9" w:rsidP="00625AB9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25AB9">
              <w:rPr>
                <w:rFonts w:hint="eastAsia"/>
              </w:rPr>
              <w:t>临海传统建筑营造实践教育基地</w:t>
            </w:r>
            <w:r w:rsidRPr="00625AB9">
              <w:rPr>
                <w:rFonts w:hint="eastAsia"/>
              </w:rPr>
              <w:t xml:space="preserve"> </w:t>
            </w:r>
            <w:r w:rsidRPr="00625AB9"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</w:p>
        </w:tc>
      </w:tr>
      <w:tr w:rsidR="00625AB9" w:rsidTr="00A61523">
        <w:tc>
          <w:tcPr>
            <w:tcW w:w="4261" w:type="dxa"/>
          </w:tcPr>
          <w:p w:rsidR="00625AB9" w:rsidRDefault="00625AB9" w:rsidP="00625AB9">
            <w:r w:rsidRPr="007F1A13">
              <w:rPr>
                <w:rFonts w:hint="eastAsia"/>
                <w:b/>
              </w:rPr>
              <w:t>基地建设设定目标</w:t>
            </w:r>
            <w:r>
              <w:rPr>
                <w:rFonts w:hint="eastAsia"/>
              </w:rPr>
              <w:t>（与学院学科、专业、课程建设的关系及培养学生目标，最终建设目标）</w:t>
            </w:r>
          </w:p>
        </w:tc>
        <w:tc>
          <w:tcPr>
            <w:tcW w:w="4261" w:type="dxa"/>
          </w:tcPr>
          <w:p w:rsidR="00625AB9" w:rsidRPr="00625AB9" w:rsidRDefault="00625AB9" w:rsidP="00625AB9">
            <w:pPr>
              <w:spacing w:line="240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625AB9">
              <w:rPr>
                <w:rFonts w:hint="eastAsia"/>
              </w:rPr>
              <w:t>以共建基地的形式与临海古建公司建立长效合作机制，充分利用基地，开展多种实践教学，提升学生的实</w:t>
            </w:r>
            <w:r w:rsidR="00F40431">
              <w:rPr>
                <w:rFonts w:hint="eastAsia"/>
              </w:rPr>
              <w:t>操</w:t>
            </w:r>
            <w:r w:rsidRPr="00625AB9">
              <w:rPr>
                <w:rFonts w:hint="eastAsia"/>
              </w:rPr>
              <w:t>能力、实践能力，增强社会责任感，提高就业率，为社会和企业提供高质量人才。</w:t>
            </w:r>
          </w:p>
          <w:p w:rsidR="00625AB9" w:rsidRDefault="00625AB9" w:rsidP="00625AB9">
            <w:r w:rsidRPr="00625AB9">
              <w:rPr>
                <w:rFonts w:hint="eastAsia"/>
              </w:rPr>
              <w:t xml:space="preserve"> </w:t>
            </w:r>
            <w:r w:rsidRPr="00625AB9">
              <w:t xml:space="preserve">   </w:t>
            </w:r>
            <w:r w:rsidRPr="00625AB9">
              <w:rPr>
                <w:rFonts w:hint="eastAsia"/>
              </w:rPr>
              <w:t>借助基地的教学和实践引导学生提高服务地方的意识，</w:t>
            </w:r>
            <w:bookmarkStart w:id="0" w:name="_GoBack"/>
            <w:bookmarkEnd w:id="0"/>
            <w:r w:rsidRPr="00625AB9">
              <w:rPr>
                <w:rFonts w:hint="eastAsia"/>
              </w:rPr>
              <w:t>为脚踏实地地振兴乡村做贡献。</w:t>
            </w:r>
          </w:p>
        </w:tc>
      </w:tr>
      <w:tr w:rsidR="00625AB9" w:rsidTr="00A61523">
        <w:tc>
          <w:tcPr>
            <w:tcW w:w="4261" w:type="dxa"/>
          </w:tcPr>
          <w:p w:rsidR="00625AB9" w:rsidRDefault="00625AB9" w:rsidP="00625AB9">
            <w:r w:rsidRPr="007F1A13">
              <w:rPr>
                <w:rFonts w:hint="eastAsia"/>
                <w:b/>
              </w:rPr>
              <w:t>建设思路</w:t>
            </w:r>
            <w:r>
              <w:rPr>
                <w:rFonts w:hint="eastAsia"/>
              </w:rPr>
              <w:t>（设立基地的有利条件及如何利用这些条件进行建设）</w:t>
            </w:r>
          </w:p>
        </w:tc>
        <w:tc>
          <w:tcPr>
            <w:tcW w:w="4261" w:type="dxa"/>
          </w:tcPr>
          <w:p w:rsidR="00625AB9" w:rsidRPr="00625AB9" w:rsidRDefault="00625AB9" w:rsidP="00625AB9">
            <w:pPr>
              <w:spacing w:line="240" w:lineRule="atLeast"/>
            </w:pPr>
            <w:r w:rsidRPr="00625AB9">
              <w:t>1</w:t>
            </w:r>
            <w:r w:rsidRPr="00625AB9">
              <w:rPr>
                <w:rFonts w:hint="eastAsia"/>
              </w:rPr>
              <w:t>、引进临海古建公司中的传统老工匠和有经验的工程师走入基地课堂，与美院老师一起合作，建设出一支专兼结合的高素质师资队伍。</w:t>
            </w:r>
          </w:p>
          <w:p w:rsidR="00625AB9" w:rsidRPr="00625AB9" w:rsidRDefault="00625AB9" w:rsidP="00625AB9">
            <w:pPr>
              <w:spacing w:line="240" w:lineRule="atLeast"/>
            </w:pPr>
            <w:r w:rsidRPr="00625AB9">
              <w:t>2</w:t>
            </w:r>
            <w:r w:rsidRPr="00625AB9">
              <w:rPr>
                <w:rFonts w:hint="eastAsia"/>
              </w:rPr>
              <w:t>、在临海古建公司总部内设立为基地总部，在浚头村设立营造技艺学习实践学堂，另选择桃渚古城、张家渡村、黄石坦村等临海古建公司的保护修缮工程作为测绘实践点</w:t>
            </w:r>
            <w:r>
              <w:rPr>
                <w:rFonts w:hint="eastAsia"/>
              </w:rPr>
              <w:t>和乡村更新设计实践</w:t>
            </w:r>
            <w:r w:rsidRPr="00625AB9">
              <w:rPr>
                <w:rFonts w:hint="eastAsia"/>
              </w:rPr>
              <w:t>。</w:t>
            </w:r>
          </w:p>
          <w:p w:rsidR="00625AB9" w:rsidRDefault="00625AB9" w:rsidP="00625AB9">
            <w:r w:rsidRPr="00625AB9">
              <w:t>3</w:t>
            </w:r>
            <w:r w:rsidRPr="00625AB9">
              <w:rPr>
                <w:rFonts w:hint="eastAsia"/>
              </w:rPr>
              <w:t>、将临海古建筑营造、木雕、砖雕、石雕、剪纸等民间非物质文化大师请进基地，与美院学生开展课堂型、课题型、服务型、实验室型等教学实践。</w:t>
            </w:r>
          </w:p>
        </w:tc>
      </w:tr>
      <w:tr w:rsidR="00625AB9" w:rsidTr="00A61523">
        <w:tc>
          <w:tcPr>
            <w:tcW w:w="4261" w:type="dxa"/>
          </w:tcPr>
          <w:p w:rsidR="00625AB9" w:rsidRPr="00FB45D0" w:rsidRDefault="00625AB9" w:rsidP="00625AB9">
            <w:r w:rsidRPr="007F1A13">
              <w:rPr>
                <w:rFonts w:hint="eastAsia"/>
                <w:b/>
              </w:rPr>
              <w:t>当前建设进度</w:t>
            </w:r>
            <w:r>
              <w:rPr>
                <w:rFonts w:hint="eastAsia"/>
              </w:rPr>
              <w:t>（组织架构，管理制度，外聘专家和老师等，开设的课程，合作项目等，可分建设时间阐述）</w:t>
            </w:r>
          </w:p>
        </w:tc>
        <w:tc>
          <w:tcPr>
            <w:tcW w:w="4261" w:type="dxa"/>
          </w:tcPr>
          <w:p w:rsidR="00625AB9" w:rsidRDefault="008D76BF" w:rsidP="008D76BF">
            <w:pPr>
              <w:tabs>
                <w:tab w:val="num" w:pos="720"/>
              </w:tabs>
              <w:spacing w:line="240" w:lineRule="atLeast"/>
            </w:pP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月，聘请</w:t>
            </w:r>
            <w:r w:rsidRPr="00625AB9">
              <w:rPr>
                <w:rFonts w:hint="eastAsia"/>
              </w:rPr>
              <w:t>临海古建公司</w:t>
            </w:r>
            <w:r w:rsidR="004624B8">
              <w:rPr>
                <w:rFonts w:hint="eastAsia"/>
              </w:rPr>
              <w:t>3</w:t>
            </w:r>
            <w:r w:rsidR="004624B8">
              <w:rPr>
                <w:rFonts w:hint="eastAsia"/>
              </w:rPr>
              <w:t>～</w:t>
            </w:r>
            <w:r w:rsidR="004624B8">
              <w:rPr>
                <w:rFonts w:hint="eastAsia"/>
              </w:rPr>
              <w:t>6</w:t>
            </w:r>
            <w:r>
              <w:rPr>
                <w:rFonts w:hint="eastAsia"/>
              </w:rPr>
              <w:t>名国家级名匠师为教育基地专家，</w:t>
            </w:r>
            <w:r w:rsidR="004624B8">
              <w:rPr>
                <w:rFonts w:hint="eastAsia"/>
              </w:rPr>
              <w:t>颁发证书。</w:t>
            </w:r>
            <w:r w:rsidRPr="008D76BF">
              <w:rPr>
                <w:rFonts w:hint="eastAsia"/>
              </w:rPr>
              <w:t>校企深度融合，开发系列课程，扩展本科和研究生的课程群。</w:t>
            </w:r>
          </w:p>
          <w:p w:rsidR="008D76BF" w:rsidRDefault="008D76BF" w:rsidP="008D76BF">
            <w:pPr>
              <w:tabs>
                <w:tab w:val="num" w:pos="720"/>
              </w:tabs>
              <w:spacing w:line="24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月，</w:t>
            </w:r>
            <w:r w:rsidR="00534EF1">
              <w:rPr>
                <w:rFonts w:hint="eastAsia"/>
              </w:rPr>
              <w:t>继续完善</w:t>
            </w:r>
            <w:r w:rsidRPr="008D76BF">
              <w:rPr>
                <w:rFonts w:hint="eastAsia"/>
              </w:rPr>
              <w:t>基地空间。空间分两部分，一部分是古建筑展示厅，为学生们学习古建筑提供模型、工具等样本；第二部分是</w:t>
            </w:r>
            <w:r w:rsidR="00534EF1">
              <w:rPr>
                <w:rFonts w:hint="eastAsia"/>
              </w:rPr>
              <w:t>工作坊教室空间</w:t>
            </w:r>
            <w:r w:rsidRPr="008D76BF">
              <w:rPr>
                <w:rFonts w:hint="eastAsia"/>
              </w:rPr>
              <w:t>，拟每年办</w:t>
            </w:r>
            <w:r w:rsidRPr="008D76BF">
              <w:rPr>
                <w:rFonts w:hint="eastAsia"/>
              </w:rPr>
              <w:t>2-3</w:t>
            </w:r>
            <w:r w:rsidRPr="008D76BF">
              <w:rPr>
                <w:rFonts w:hint="eastAsia"/>
              </w:rPr>
              <w:t>次培训，由传统匠师给美院学生上课</w:t>
            </w:r>
            <w:r w:rsidR="00534EF1">
              <w:rPr>
                <w:rFonts w:hint="eastAsia"/>
              </w:rPr>
              <w:t>。</w:t>
            </w:r>
          </w:p>
          <w:p w:rsidR="008D76BF" w:rsidRPr="008D76BF" w:rsidRDefault="00534EF1" w:rsidP="008D76BF">
            <w:pPr>
              <w:tabs>
                <w:tab w:val="num" w:pos="720"/>
              </w:tabs>
              <w:spacing w:line="240" w:lineRule="atLeast"/>
            </w:pPr>
            <w:r>
              <w:t>3</w:t>
            </w:r>
            <w:r w:rsidR="008D76BF">
              <w:rPr>
                <w:rFonts w:hint="eastAsia"/>
              </w:rPr>
              <w:t>、</w:t>
            </w:r>
            <w:r w:rsidR="008D76BF">
              <w:rPr>
                <w:rFonts w:hint="eastAsia"/>
              </w:rPr>
              <w:t>2</w:t>
            </w:r>
            <w:r w:rsidR="008D76BF">
              <w:t>021</w:t>
            </w:r>
            <w:r w:rsidR="008D76BF">
              <w:rPr>
                <w:rFonts w:hint="eastAsia"/>
              </w:rPr>
              <w:t>年底</w:t>
            </w:r>
            <w:r w:rsidR="008D76BF">
              <w:t>9-11</w:t>
            </w:r>
            <w:r w:rsidR="008D76BF">
              <w:rPr>
                <w:rFonts w:hint="eastAsia"/>
              </w:rPr>
              <w:t>月，计划</w:t>
            </w:r>
            <w:r w:rsidR="008D76BF" w:rsidRPr="008D76BF">
              <w:rPr>
                <w:rFonts w:hint="eastAsia"/>
              </w:rPr>
              <w:t>在临海办一次展览和研讨会，将这两年基地建设的成果进行展览，</w:t>
            </w:r>
            <w:r w:rsidR="008D76BF">
              <w:rPr>
                <w:rFonts w:hint="eastAsia"/>
              </w:rPr>
              <w:t>促进</w:t>
            </w:r>
            <w:r w:rsidR="008D76BF" w:rsidRPr="008D76BF">
              <w:rPr>
                <w:rFonts w:hint="eastAsia"/>
              </w:rPr>
              <w:t>基地建设成果能够向社会进行转化和辐射，为乡村建设提供美院的一点力量。</w:t>
            </w:r>
          </w:p>
          <w:p w:rsidR="008D76BF" w:rsidRPr="00AA4434" w:rsidRDefault="00534EF1" w:rsidP="008D76BF">
            <w:pPr>
              <w:tabs>
                <w:tab w:val="num" w:pos="720"/>
              </w:tabs>
              <w:spacing w:line="240" w:lineRule="atLeast"/>
            </w:pPr>
            <w:r>
              <w:t>4</w:t>
            </w:r>
            <w:r w:rsidR="008D76BF">
              <w:rPr>
                <w:rFonts w:hint="eastAsia"/>
              </w:rPr>
              <w:t>、</w:t>
            </w:r>
            <w:r w:rsidR="008D76BF">
              <w:rPr>
                <w:rFonts w:hint="eastAsia"/>
              </w:rPr>
              <w:t>2</w:t>
            </w:r>
            <w:r w:rsidR="008D76BF">
              <w:t>021</w:t>
            </w:r>
            <w:r w:rsidR="008D76BF">
              <w:rPr>
                <w:rFonts w:hint="eastAsia"/>
              </w:rPr>
              <w:t>年底计划出一本临海乡村研究的专著，将在临海</w:t>
            </w:r>
            <w:r w:rsidR="004624B8">
              <w:rPr>
                <w:rFonts w:hint="eastAsia"/>
              </w:rPr>
              <w:t>传统村落和传统匠艺进行的研究工作进行</w:t>
            </w:r>
            <w:r w:rsidR="008D76BF">
              <w:rPr>
                <w:rFonts w:hint="eastAsia"/>
              </w:rPr>
              <w:t>理论梳理。</w:t>
            </w:r>
          </w:p>
        </w:tc>
      </w:tr>
      <w:tr w:rsidR="00625AB9" w:rsidTr="00A61523">
        <w:tc>
          <w:tcPr>
            <w:tcW w:w="4261" w:type="dxa"/>
          </w:tcPr>
          <w:p w:rsidR="00625AB9" w:rsidRDefault="00625AB9" w:rsidP="00625AB9">
            <w:r w:rsidRPr="007F1A13">
              <w:rPr>
                <w:rFonts w:hint="eastAsia"/>
                <w:b/>
              </w:rPr>
              <w:t>已取得的成果</w:t>
            </w:r>
            <w:r>
              <w:rPr>
                <w:rFonts w:hint="eastAsia"/>
              </w:rPr>
              <w:t>（合作项目、受教育人数、展览、教学成果、已出书籍，校内校外的开放共享，对当地的贡献等）</w:t>
            </w:r>
          </w:p>
        </w:tc>
        <w:tc>
          <w:tcPr>
            <w:tcW w:w="4261" w:type="dxa"/>
          </w:tcPr>
          <w:p w:rsidR="008D76BF" w:rsidRPr="00AA4434" w:rsidRDefault="008D76BF" w:rsidP="008D76BF">
            <w:pPr>
              <w:tabs>
                <w:tab w:val="num" w:pos="720"/>
              </w:tabs>
              <w:spacing w:line="240" w:lineRule="atLeast"/>
            </w:pPr>
            <w:r>
              <w:t>1</w:t>
            </w:r>
            <w:r>
              <w:rPr>
                <w:rFonts w:hint="eastAsia"/>
              </w:rPr>
              <w:t>、</w:t>
            </w:r>
            <w:r w:rsidRPr="00AA4434">
              <w:rPr>
                <w:rFonts w:hint="eastAsia"/>
              </w:rPr>
              <w:t>2020</w:t>
            </w:r>
            <w:r w:rsidRPr="00AA4434"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Pr="00AA4434">
              <w:rPr>
                <w:rFonts w:hint="eastAsia"/>
              </w:rPr>
              <w:t>，组织学生</w:t>
            </w:r>
            <w:r>
              <w:t>38</w:t>
            </w:r>
            <w:r>
              <w:rPr>
                <w:rFonts w:hint="eastAsia"/>
              </w:rPr>
              <w:t>人</w:t>
            </w:r>
            <w:r w:rsidRPr="00AA4434">
              <w:rPr>
                <w:rFonts w:hint="eastAsia"/>
              </w:rPr>
              <w:t>到临海汇溪镇孔丘村展开乡村调研，调研成果丰硕；</w:t>
            </w:r>
          </w:p>
          <w:p w:rsidR="008D76BF" w:rsidRPr="00AA4434" w:rsidRDefault="008D76BF" w:rsidP="008D76BF">
            <w:pPr>
              <w:tabs>
                <w:tab w:val="num" w:pos="720"/>
              </w:tabs>
              <w:spacing w:line="240" w:lineRule="atLeast"/>
            </w:pPr>
            <w:r>
              <w:t>2</w:t>
            </w:r>
            <w:r>
              <w:rPr>
                <w:rFonts w:hint="eastAsia"/>
              </w:rPr>
              <w:t>、</w:t>
            </w:r>
            <w:r w:rsidRPr="00AA4434">
              <w:rPr>
                <w:rFonts w:hint="eastAsia"/>
              </w:rPr>
              <w:t>202</w:t>
            </w:r>
            <w:r>
              <w:t>0</w:t>
            </w:r>
            <w:r w:rsidRPr="00AA4434"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 w:rsidRPr="00AA4434">
              <w:rPr>
                <w:rFonts w:hint="eastAsia"/>
              </w:rPr>
              <w:t>，临海古建公司的董事长黄大树和临海汇溪镇镇长林迪华一行来校参</w:t>
            </w:r>
            <w:r w:rsidRPr="00AA4434">
              <w:rPr>
                <w:rFonts w:hint="eastAsia"/>
              </w:rPr>
              <w:lastRenderedPageBreak/>
              <w:t>观了测绘展，建筑学院书记周</w:t>
            </w:r>
            <w:r w:rsidR="00F40431">
              <w:rPr>
                <w:rFonts w:hint="eastAsia"/>
              </w:rPr>
              <w:t>宝</w:t>
            </w:r>
            <w:r w:rsidRPr="00AA4434">
              <w:rPr>
                <w:rFonts w:hint="eastAsia"/>
              </w:rPr>
              <w:t>松与他们举行了会谈，就基地建设提出建议；</w:t>
            </w:r>
          </w:p>
          <w:p w:rsidR="008D76BF" w:rsidRPr="00AA4434" w:rsidRDefault="008D76BF" w:rsidP="008D76BF">
            <w:pPr>
              <w:tabs>
                <w:tab w:val="num" w:pos="720"/>
              </w:tabs>
              <w:spacing w:line="240" w:lineRule="atLeast"/>
            </w:pPr>
            <w:r>
              <w:t>3</w:t>
            </w:r>
            <w:r>
              <w:rPr>
                <w:rFonts w:hint="eastAsia"/>
              </w:rPr>
              <w:t>、</w:t>
            </w:r>
            <w:r w:rsidRPr="00AA4434">
              <w:rPr>
                <w:rFonts w:hint="eastAsia"/>
              </w:rPr>
              <w:t>2021</w:t>
            </w:r>
            <w:r w:rsidRPr="00AA4434"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Pr="00AA4434">
              <w:rPr>
                <w:rFonts w:hint="eastAsia"/>
              </w:rPr>
              <w:t>，组织学生</w:t>
            </w:r>
            <w:r>
              <w:rPr>
                <w:rFonts w:hint="eastAsia"/>
              </w:rPr>
              <w:t>3</w:t>
            </w:r>
            <w:r>
              <w:t>3</w:t>
            </w:r>
            <w:r>
              <w:rPr>
                <w:rFonts w:hint="eastAsia"/>
              </w:rPr>
              <w:t>人</w:t>
            </w:r>
            <w:r w:rsidRPr="00AA4434">
              <w:rPr>
                <w:rFonts w:hint="eastAsia"/>
              </w:rPr>
              <w:t>到临海汇溪镇的孔丘村、灰坑村、蒋岙村展开乡村实践设计；</w:t>
            </w:r>
          </w:p>
          <w:p w:rsidR="00625AB9" w:rsidRPr="008D76BF" w:rsidRDefault="008D76BF" w:rsidP="008D76BF">
            <w:pPr>
              <w:tabs>
                <w:tab w:val="num" w:pos="720"/>
              </w:tabs>
              <w:spacing w:line="240" w:lineRule="atLeast"/>
            </w:pPr>
            <w:r>
              <w:t>4</w:t>
            </w:r>
            <w:r>
              <w:rPr>
                <w:rFonts w:hint="eastAsia"/>
              </w:rPr>
              <w:t>、</w:t>
            </w:r>
            <w:r w:rsidRPr="00AA4434">
              <w:rPr>
                <w:rFonts w:hint="eastAsia"/>
              </w:rPr>
              <w:t>2021</w:t>
            </w:r>
            <w:r w:rsidRPr="00AA4434"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Pr="00AA4434">
              <w:rPr>
                <w:rFonts w:hint="eastAsia"/>
              </w:rPr>
              <w:t>，</w:t>
            </w:r>
            <w:r w:rsidRPr="008D76BF">
              <w:rPr>
                <w:rFonts w:hint="eastAsia"/>
              </w:rPr>
              <w:t>在基地开办</w:t>
            </w:r>
            <w:r>
              <w:rPr>
                <w:rFonts w:hint="eastAsia"/>
              </w:rPr>
              <w:t>了一次</w:t>
            </w:r>
            <w:r w:rsidRPr="008D76BF">
              <w:rPr>
                <w:rFonts w:hint="eastAsia"/>
              </w:rPr>
              <w:t>营造学堂</w:t>
            </w:r>
            <w:r>
              <w:rPr>
                <w:rFonts w:hint="eastAsia"/>
              </w:rPr>
              <w:t>，</w:t>
            </w:r>
            <w:r w:rsidRPr="00AA4434">
              <w:rPr>
                <w:rFonts w:hint="eastAsia"/>
              </w:rPr>
              <w:t>临海古建公司董事长黄大树给学生讲课。</w:t>
            </w:r>
          </w:p>
        </w:tc>
      </w:tr>
    </w:tbl>
    <w:p w:rsidR="00A61523" w:rsidRDefault="00A61523"/>
    <w:p w:rsidR="00A61523" w:rsidRDefault="00A61523"/>
    <w:sectPr w:rsidR="00A61523" w:rsidSect="00116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2D" w:rsidRDefault="0088412D" w:rsidP="00F40431">
      <w:r>
        <w:separator/>
      </w:r>
    </w:p>
  </w:endnote>
  <w:endnote w:type="continuationSeparator" w:id="0">
    <w:p w:rsidR="0088412D" w:rsidRDefault="0088412D" w:rsidP="00F4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2D" w:rsidRDefault="0088412D" w:rsidP="00F40431">
      <w:r>
        <w:separator/>
      </w:r>
    </w:p>
  </w:footnote>
  <w:footnote w:type="continuationSeparator" w:id="0">
    <w:p w:rsidR="0088412D" w:rsidRDefault="0088412D" w:rsidP="00F4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E0031"/>
    <w:multiLevelType w:val="hybridMultilevel"/>
    <w:tmpl w:val="EC9A7BF4"/>
    <w:lvl w:ilvl="0" w:tplc="A81CCB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C1F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CC7E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E08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BE19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C3C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66D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6BB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E64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23"/>
    <w:rsid w:val="00116949"/>
    <w:rsid w:val="00154B39"/>
    <w:rsid w:val="004624B8"/>
    <w:rsid w:val="00534EF1"/>
    <w:rsid w:val="00625AB9"/>
    <w:rsid w:val="007F1A13"/>
    <w:rsid w:val="0088412D"/>
    <w:rsid w:val="008D76BF"/>
    <w:rsid w:val="00A61523"/>
    <w:rsid w:val="00AA4434"/>
    <w:rsid w:val="00F40431"/>
    <w:rsid w:val="00F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E96C68-9449-084B-A540-4199ED97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5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8D76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04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4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0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zgy</dc:creator>
  <cp:lastModifiedBy>周高宇</cp:lastModifiedBy>
  <cp:revision>3</cp:revision>
  <dcterms:created xsi:type="dcterms:W3CDTF">2021-04-08T01:58:00Z</dcterms:created>
  <dcterms:modified xsi:type="dcterms:W3CDTF">2021-04-21T01:00:00Z</dcterms:modified>
</cp:coreProperties>
</file>